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3132A66F" w:rsidR="00FE067E" w:rsidRDefault="009565EA" w:rsidP="00CC1F3B">
      <w:pPr>
        <w:pStyle w:val="TitlePageOrigin"/>
      </w:pPr>
      <w:r>
        <w:rPr>
          <w:caps w:val="0"/>
          <w:noProof/>
        </w:rPr>
        <mc:AlternateContent>
          <mc:Choice Requires="wps">
            <w:drawing>
              <wp:anchor distT="0" distB="0" distL="114300" distR="114300" simplePos="0" relativeHeight="251659264" behindDoc="0" locked="0" layoutInCell="1" allowOverlap="1" wp14:anchorId="7F27BC26" wp14:editId="14DCCE70">
                <wp:simplePos x="0" y="0"/>
                <wp:positionH relativeFrom="column">
                  <wp:posOffset>6007100</wp:posOffset>
                </wp:positionH>
                <wp:positionV relativeFrom="paragraph">
                  <wp:posOffset>2260600</wp:posOffset>
                </wp:positionV>
                <wp:extent cx="635000" cy="476250"/>
                <wp:effectExtent l="0" t="0" r="12700" b="19050"/>
                <wp:wrapNone/>
                <wp:docPr id="28562874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3058E0" w14:textId="7B3868C0" w:rsidR="009565EA" w:rsidRPr="009565EA" w:rsidRDefault="009565EA" w:rsidP="009565EA">
                            <w:pPr>
                              <w:spacing w:line="240" w:lineRule="auto"/>
                              <w:jc w:val="center"/>
                              <w:rPr>
                                <w:rFonts w:cs="Arial"/>
                                <w:b/>
                              </w:rPr>
                            </w:pPr>
                            <w:r w:rsidRPr="009565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27BC2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33058E0" w14:textId="7B3868C0" w:rsidR="009565EA" w:rsidRPr="009565EA" w:rsidRDefault="009565EA" w:rsidP="009565EA">
                      <w:pPr>
                        <w:spacing w:line="240" w:lineRule="auto"/>
                        <w:jc w:val="center"/>
                        <w:rPr>
                          <w:rFonts w:cs="Arial"/>
                          <w:b/>
                        </w:rPr>
                      </w:pPr>
                      <w:r w:rsidRPr="009565EA">
                        <w:rPr>
                          <w:rFonts w:cs="Arial"/>
                          <w:b/>
                        </w:rPr>
                        <w:t>FISCAL NOTE</w:t>
                      </w:r>
                    </w:p>
                  </w:txbxContent>
                </v:textbox>
              </v:shape>
            </w:pict>
          </mc:Fallback>
        </mc:AlternateContent>
      </w:r>
      <w:r w:rsidR="003C6034">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FF69E8"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57F5A535" w:rsidR="00CD36CF" w:rsidRDefault="00FF69E8"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3502</w:t>
          </w:r>
        </w:sdtContent>
      </w:sdt>
    </w:p>
    <w:p w14:paraId="18904BE0" w14:textId="3AD512CD"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E4138C">
            <w:t>Delegate</w:t>
          </w:r>
          <w:r w:rsidR="00985CD7">
            <w:t>s</w:t>
          </w:r>
          <w:r w:rsidR="00E4138C">
            <w:t xml:space="preserve"> Hornbuckle</w:t>
          </w:r>
          <w:r w:rsidR="00985CD7">
            <w:t>, Williams, Young, Hamilton, Garcia, Lewis, Bridges, and Fluharty</w:t>
          </w:r>
        </w:sdtContent>
      </w:sdt>
    </w:p>
    <w:p w14:paraId="72BB9E26" w14:textId="0FA613EB" w:rsidR="00E831B3" w:rsidRDefault="00CD36CF" w:rsidP="00CC1F3B">
      <w:pPr>
        <w:pStyle w:val="References"/>
      </w:pPr>
      <w:r>
        <w:t>[</w:t>
      </w:r>
      <w:sdt>
        <w:sdtPr>
          <w:tag w:val="References"/>
          <w:id w:val="-1043047873"/>
          <w:placeholder>
            <w:docPart w:val="93732D240D6C48BC956F6DFCEB5D3696"/>
          </w:placeholder>
          <w:text w:multiLine="1"/>
        </w:sdtPr>
        <w:sdtEndPr/>
        <w:sdtContent>
          <w:r w:rsidR="00FF69E8">
            <w:t>Introduced March 18, 2025; referred to the Committee on Government Organization then Finance</w:t>
          </w:r>
        </w:sdtContent>
      </w:sdt>
      <w:r>
        <w:t>]</w:t>
      </w:r>
    </w:p>
    <w:p w14:paraId="22AF067A" w14:textId="7BB3F919" w:rsidR="00303684" w:rsidRDefault="0000526A" w:rsidP="00CC1F3B">
      <w:pPr>
        <w:pStyle w:val="TitleSection"/>
      </w:pPr>
      <w:r>
        <w:lastRenderedPageBreak/>
        <w:t>A BILL</w:t>
      </w:r>
      <w:r w:rsidR="00415868">
        <w:t xml:space="preserve"> to amend </w:t>
      </w:r>
      <w:r w:rsidR="00E4138C">
        <w:t xml:space="preserve">and reenact </w:t>
      </w:r>
      <w:r w:rsidR="00415868">
        <w:t xml:space="preserve">§29-31-13 of the Code of West Virginia, 1931, as amended, relating to </w:t>
      </w:r>
      <w:r w:rsidR="00E4138C">
        <w:t>the state resiliency and flood protection plan act; providing legislative findings; raising the amount of money for the Flood Fund to $250 million; and allocating money to the Flood Fund from the Revenue Shortfall Fund and Tax Reserve Fund.</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912DE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4ECE5C" w14:textId="77777777" w:rsidR="007C13CB" w:rsidRPr="00BF4632" w:rsidRDefault="007C13CB" w:rsidP="00AE7667">
      <w:pPr>
        <w:pStyle w:val="ArticleHeading"/>
      </w:pPr>
      <w:r w:rsidRPr="00BF4632">
        <w:t>ARTICLE 31. STATE RESILIENCY AND FLOOD PROTECTION PLAN ACT.</w:t>
      </w:r>
    </w:p>
    <w:p w14:paraId="650F4B4B" w14:textId="77777777" w:rsidR="007C13CB" w:rsidRDefault="007C13CB" w:rsidP="009069B5">
      <w:pPr>
        <w:pStyle w:val="SectionHeading"/>
        <w:sectPr w:rsidR="007C13CB" w:rsidSect="00912DE2">
          <w:type w:val="continuous"/>
          <w:pgSz w:w="12240" w:h="15840" w:code="1"/>
          <w:pgMar w:top="1440" w:right="1440" w:bottom="1440" w:left="1440" w:header="720" w:footer="720" w:gutter="0"/>
          <w:lnNumType w:countBy="1" w:restart="newSection"/>
          <w:cols w:space="720"/>
          <w:titlePg/>
          <w:docGrid w:linePitch="360"/>
        </w:sectPr>
      </w:pPr>
      <w:r w:rsidRPr="006F2FCF">
        <w:t>§29-31-13. Capitalization of the West Virginia Flood Resiliency Trust Fund.</w:t>
      </w:r>
    </w:p>
    <w:p w14:paraId="16C857A9" w14:textId="3BAC6801" w:rsidR="007C13CB" w:rsidRPr="007C13CB" w:rsidRDefault="007C13CB" w:rsidP="009069B5">
      <w:pPr>
        <w:pStyle w:val="SectionBody"/>
        <w:rPr>
          <w:rFonts w:eastAsia="Times New Roman"/>
          <w:u w:val="single"/>
        </w:rPr>
      </w:pPr>
      <w:r w:rsidRPr="006F2FCF">
        <w:t xml:space="preserve">(a) The West Virginia Flood Resiliency Trust Fund may be granted </w:t>
      </w:r>
      <w:r w:rsidRPr="00E4138C">
        <w:rPr>
          <w:strike/>
        </w:rPr>
        <w:t xml:space="preserve">an </w:t>
      </w:r>
      <w:r w:rsidRPr="004560AA">
        <w:rPr>
          <w:strike/>
        </w:rPr>
        <w:t>initial</w:t>
      </w:r>
      <w:r w:rsidRPr="006F2FCF">
        <w:t xml:space="preserve"> </w:t>
      </w:r>
      <w:r w:rsidR="00E4138C" w:rsidRPr="00E4138C">
        <w:rPr>
          <w:u w:val="single"/>
        </w:rPr>
        <w:t xml:space="preserve">a </w:t>
      </w:r>
      <w:r w:rsidRPr="00E4138C">
        <w:t>one</w:t>
      </w:r>
      <w:r w:rsidRPr="006F2FCF">
        <w:t xml:space="preserve">-time allocation of </w:t>
      </w:r>
      <w:r w:rsidRPr="007C13CB">
        <w:rPr>
          <w:strike/>
        </w:rPr>
        <w:t>$40 million in state general funds</w:t>
      </w:r>
      <w:r w:rsidRPr="006F2FCF">
        <w:t xml:space="preserve"> </w:t>
      </w:r>
      <w:r w:rsidRPr="007C13CB">
        <w:rPr>
          <w:u w:val="single"/>
        </w:rPr>
        <w:t>$</w:t>
      </w:r>
      <w:r>
        <w:rPr>
          <w:u w:val="single"/>
        </w:rPr>
        <w:t>250</w:t>
      </w:r>
      <w:r w:rsidRPr="007C13CB">
        <w:rPr>
          <w:u w:val="single"/>
        </w:rPr>
        <w:t xml:space="preserve"> million </w:t>
      </w:r>
      <w:r w:rsidRPr="006F2FCF">
        <w:t>for the purposes outlined in this article.</w:t>
      </w:r>
      <w:r>
        <w:t xml:space="preserve">  </w:t>
      </w:r>
      <w:r w:rsidR="00F25875" w:rsidRPr="00BB6349">
        <w:rPr>
          <w:u w:val="single"/>
        </w:rPr>
        <w:t>Whereas</w:t>
      </w:r>
      <w:r w:rsidR="00BB6349" w:rsidRPr="00BB6349">
        <w:rPr>
          <w:u w:val="single"/>
        </w:rPr>
        <w:t xml:space="preserve"> the reoccurring and severe flooding events that have and will continue to occur in the state require that a proactive approach to reduce what </w:t>
      </w:r>
      <w:r w:rsidR="00481546">
        <w:rPr>
          <w:u w:val="single"/>
        </w:rPr>
        <w:t>have</w:t>
      </w:r>
      <w:r w:rsidR="00BB6349" w:rsidRPr="00BB6349">
        <w:rPr>
          <w:u w:val="single"/>
        </w:rPr>
        <w:t xml:space="preserve"> </w:t>
      </w:r>
      <w:r w:rsidR="00BD5455">
        <w:rPr>
          <w:u w:val="single"/>
        </w:rPr>
        <w:t>become regular and</w:t>
      </w:r>
      <w:r w:rsidR="00BB6349" w:rsidRPr="00BB6349">
        <w:rPr>
          <w:u w:val="single"/>
        </w:rPr>
        <w:t xml:space="preserve"> foresee</w:t>
      </w:r>
      <w:r w:rsidR="00BD5455">
        <w:rPr>
          <w:u w:val="single"/>
        </w:rPr>
        <w:t>able</w:t>
      </w:r>
      <w:r w:rsidR="00BB6349" w:rsidRPr="00BB6349">
        <w:rPr>
          <w:u w:val="single"/>
        </w:rPr>
        <w:t xml:space="preserve"> </w:t>
      </w:r>
      <w:r w:rsidR="00287A91">
        <w:rPr>
          <w:u w:val="single"/>
        </w:rPr>
        <w:t xml:space="preserve">flood </w:t>
      </w:r>
      <w:r w:rsidR="00BB6349" w:rsidRPr="00BB6349">
        <w:rPr>
          <w:u w:val="single"/>
        </w:rPr>
        <w:t>events</w:t>
      </w:r>
      <w:r w:rsidR="006731F7">
        <w:rPr>
          <w:u w:val="single"/>
        </w:rPr>
        <w:t xml:space="preserve"> can only be </w:t>
      </w:r>
      <w:r w:rsidR="00BC7DD2">
        <w:rPr>
          <w:u w:val="single"/>
        </w:rPr>
        <w:t>obtained</w:t>
      </w:r>
      <w:r w:rsidR="006731F7">
        <w:rPr>
          <w:u w:val="single"/>
        </w:rPr>
        <w:t xml:space="preserve"> by </w:t>
      </w:r>
      <w:r w:rsidR="00C25F8E">
        <w:rPr>
          <w:u w:val="single"/>
        </w:rPr>
        <w:t>preventive</w:t>
      </w:r>
      <w:r w:rsidR="006731F7">
        <w:rPr>
          <w:u w:val="single"/>
        </w:rPr>
        <w:t xml:space="preserve"> measures to mitigate and reduce the</w:t>
      </w:r>
      <w:r w:rsidR="00CF4526">
        <w:rPr>
          <w:u w:val="single"/>
        </w:rPr>
        <w:t>se events.</w:t>
      </w:r>
      <w:r w:rsidR="00BB6349" w:rsidRPr="00BB6349">
        <w:rPr>
          <w:u w:val="single"/>
        </w:rPr>
        <w:t xml:space="preserve">  </w:t>
      </w:r>
      <w:r w:rsidR="0053793B" w:rsidRPr="00BB6349">
        <w:rPr>
          <w:u w:val="single"/>
        </w:rPr>
        <w:t>Therefore</w:t>
      </w:r>
      <w:r w:rsidR="00F41DF9">
        <w:rPr>
          <w:u w:val="single"/>
        </w:rPr>
        <w:t>,</w:t>
      </w:r>
      <w:r w:rsidR="00BB6349" w:rsidRPr="00BB6349">
        <w:rPr>
          <w:u w:val="single"/>
        </w:rPr>
        <w:t xml:space="preserve"> the Legislature finds that the use of the funds from the Revenue Sh</w:t>
      </w:r>
      <w:r w:rsidR="00BB6349">
        <w:rPr>
          <w:u w:val="single"/>
        </w:rPr>
        <w:t>ortfall Fund are appropriate to address this statewide reoccurring emergency</w:t>
      </w:r>
      <w:r w:rsidR="00BD5455">
        <w:rPr>
          <w:u w:val="single"/>
        </w:rPr>
        <w:t xml:space="preserve"> by </w:t>
      </w:r>
      <w:r w:rsidR="00F41DF9">
        <w:rPr>
          <w:u w:val="single"/>
        </w:rPr>
        <w:t>funding</w:t>
      </w:r>
      <w:r w:rsidR="00BD5455">
        <w:rPr>
          <w:u w:val="single"/>
        </w:rPr>
        <w:t xml:space="preserve"> preventive actions to reduce the impacts of these emergencies</w:t>
      </w:r>
      <w:r w:rsidR="00BB6349">
        <w:rPr>
          <w:u w:val="single"/>
        </w:rPr>
        <w:t xml:space="preserve">. </w:t>
      </w:r>
      <w:r w:rsidR="00DA1CDD">
        <w:rPr>
          <w:u w:val="single"/>
        </w:rPr>
        <w:t xml:space="preserve">A </w:t>
      </w:r>
      <w:r w:rsidR="00BB6349">
        <w:rPr>
          <w:u w:val="single"/>
        </w:rPr>
        <w:t>one-time</w:t>
      </w:r>
      <w:r>
        <w:rPr>
          <w:u w:val="single"/>
        </w:rPr>
        <w:t xml:space="preserve"> allocation of $100 million from the </w:t>
      </w:r>
      <w:r w:rsidR="003B71EF">
        <w:rPr>
          <w:u w:val="single"/>
        </w:rPr>
        <w:t>R</w:t>
      </w:r>
      <w:r>
        <w:rPr>
          <w:u w:val="single"/>
        </w:rPr>
        <w:t xml:space="preserve">evenue </w:t>
      </w:r>
      <w:r w:rsidR="003B71EF">
        <w:rPr>
          <w:u w:val="single"/>
        </w:rPr>
        <w:t>S</w:t>
      </w:r>
      <w:r>
        <w:rPr>
          <w:u w:val="single"/>
        </w:rPr>
        <w:t xml:space="preserve">hortfall </w:t>
      </w:r>
      <w:r w:rsidR="003B71EF">
        <w:rPr>
          <w:u w:val="single"/>
        </w:rPr>
        <w:t>F</w:t>
      </w:r>
      <w:r>
        <w:rPr>
          <w:u w:val="single"/>
        </w:rPr>
        <w:t>und established pursuant to §11B-2-20 of the code</w:t>
      </w:r>
      <w:r w:rsidR="00DA1CDD">
        <w:rPr>
          <w:u w:val="single"/>
        </w:rPr>
        <w:t xml:space="preserve"> may</w:t>
      </w:r>
      <w:r>
        <w:rPr>
          <w:u w:val="single"/>
        </w:rPr>
        <w:t xml:space="preserve"> </w:t>
      </w:r>
      <w:r w:rsidR="00BB6349">
        <w:rPr>
          <w:u w:val="single"/>
        </w:rPr>
        <w:t xml:space="preserve">be deposited into the </w:t>
      </w:r>
      <w:r w:rsidR="00DD3BF9">
        <w:rPr>
          <w:u w:val="single"/>
        </w:rPr>
        <w:t xml:space="preserve">Flood Fund.  </w:t>
      </w:r>
      <w:r w:rsidR="00BD5455">
        <w:rPr>
          <w:u w:val="single"/>
        </w:rPr>
        <w:t>Further,</w:t>
      </w:r>
      <w:r>
        <w:rPr>
          <w:u w:val="single"/>
        </w:rPr>
        <w:t xml:space="preserve"> </w:t>
      </w:r>
      <w:r w:rsidR="00BD5455">
        <w:rPr>
          <w:u w:val="single"/>
        </w:rPr>
        <w:t xml:space="preserve">that $150 million in excess moneys currently held in the </w:t>
      </w:r>
      <w:r w:rsidR="007C2E65">
        <w:rPr>
          <w:u w:val="single"/>
        </w:rPr>
        <w:t>I</w:t>
      </w:r>
      <w:r w:rsidR="00BD5455">
        <w:rPr>
          <w:u w:val="single"/>
        </w:rPr>
        <w:t xml:space="preserve">ncome </w:t>
      </w:r>
      <w:r w:rsidR="007C2E65">
        <w:rPr>
          <w:u w:val="single"/>
        </w:rPr>
        <w:t>T</w:t>
      </w:r>
      <w:r w:rsidR="00BD5455">
        <w:rPr>
          <w:u w:val="single"/>
        </w:rPr>
        <w:t xml:space="preserve">ax </w:t>
      </w:r>
      <w:r w:rsidR="007C2E65">
        <w:rPr>
          <w:u w:val="single"/>
        </w:rPr>
        <w:t>R</w:t>
      </w:r>
      <w:r w:rsidR="00BD5455">
        <w:rPr>
          <w:u w:val="single"/>
        </w:rPr>
        <w:t xml:space="preserve">eserve </w:t>
      </w:r>
      <w:r w:rsidR="007C2E65">
        <w:rPr>
          <w:u w:val="single"/>
        </w:rPr>
        <w:t>F</w:t>
      </w:r>
      <w:r w:rsidR="00BD5455">
        <w:rPr>
          <w:u w:val="single"/>
        </w:rPr>
        <w:t>und, established pursuant to §11-21-96 of th</w:t>
      </w:r>
      <w:r w:rsidR="00D3425F">
        <w:rPr>
          <w:u w:val="single"/>
        </w:rPr>
        <w:t>e</w:t>
      </w:r>
      <w:r w:rsidR="00BD5455">
        <w:rPr>
          <w:u w:val="single"/>
        </w:rPr>
        <w:t xml:space="preserve"> code</w:t>
      </w:r>
      <w:r w:rsidR="008E47FA">
        <w:rPr>
          <w:u w:val="single"/>
        </w:rPr>
        <w:t>,</w:t>
      </w:r>
      <w:r w:rsidR="00BD5455">
        <w:rPr>
          <w:u w:val="single"/>
        </w:rPr>
        <w:t xml:space="preserve"> may </w:t>
      </w:r>
      <w:r w:rsidR="006439F0">
        <w:rPr>
          <w:u w:val="single"/>
        </w:rPr>
        <w:t xml:space="preserve">also </w:t>
      </w:r>
      <w:r w:rsidR="00BD5455">
        <w:rPr>
          <w:u w:val="single"/>
        </w:rPr>
        <w:t>be appropriated</w:t>
      </w:r>
      <w:r w:rsidR="006439F0">
        <w:rPr>
          <w:u w:val="single"/>
        </w:rPr>
        <w:t xml:space="preserve"> to the</w:t>
      </w:r>
      <w:r w:rsidR="00BD5455">
        <w:rPr>
          <w:u w:val="single"/>
        </w:rPr>
        <w:t xml:space="preserve"> Flood Fund</w:t>
      </w:r>
      <w:r w:rsidR="00F87F9A">
        <w:rPr>
          <w:u w:val="single"/>
        </w:rPr>
        <w:t>.  These appropriations shall</w:t>
      </w:r>
      <w:r w:rsidR="00BD5455">
        <w:rPr>
          <w:u w:val="single"/>
        </w:rPr>
        <w:t xml:space="preserve"> provid</w:t>
      </w:r>
      <w:r w:rsidR="00F87F9A">
        <w:rPr>
          <w:u w:val="single"/>
        </w:rPr>
        <w:t>e</w:t>
      </w:r>
      <w:r w:rsidR="00BD5455">
        <w:rPr>
          <w:u w:val="single"/>
        </w:rPr>
        <w:t xml:space="preserve"> a one-time initiative to jump start the State Resiliency a</w:t>
      </w:r>
      <w:r w:rsidR="006439F0">
        <w:rPr>
          <w:u w:val="single"/>
        </w:rPr>
        <w:t>nd</w:t>
      </w:r>
      <w:r w:rsidR="00BD5455">
        <w:rPr>
          <w:u w:val="single"/>
        </w:rPr>
        <w:t xml:space="preserve"> Flood Prevention Act.   </w:t>
      </w:r>
    </w:p>
    <w:p w14:paraId="1ED7B8F3" w14:textId="77777777" w:rsidR="007C13CB" w:rsidRPr="006F2FCF" w:rsidRDefault="007C13CB" w:rsidP="009069B5">
      <w:pPr>
        <w:pStyle w:val="SectionBody"/>
      </w:pPr>
      <w:r w:rsidRPr="006F2FCF">
        <w:t>(b) The State Resiliency Officer shall, with the concurrence of the State Auditor, present an expenditure report to the State Resiliency Office Board by no later than December 1 annually.</w:t>
      </w:r>
    </w:p>
    <w:p w14:paraId="54DF11DA" w14:textId="54144539" w:rsidR="007C13CB" w:rsidRPr="006F2FCF" w:rsidRDefault="007C13CB" w:rsidP="009069B5">
      <w:pPr>
        <w:pStyle w:val="SectionBody"/>
      </w:pPr>
      <w:r w:rsidRPr="006F2FCF">
        <w:t xml:space="preserve">(c) Upon review and verification by the State Resiliency Office Board that all expenditures within the West Virginia Flood Resiliency Trust Fund expenditure report are valid and justified uses of Flood Fund resources, the State Resiliency Office Board shall submit to the Governor by no later than December 31 annually a budget and may request to replenish the Flood Fund up to </w:t>
      </w:r>
      <w:r w:rsidRPr="006F2FCF">
        <w:lastRenderedPageBreak/>
        <w:t xml:space="preserve">its </w:t>
      </w:r>
      <w:r w:rsidRPr="00BD5455">
        <w:rPr>
          <w:strike/>
        </w:rPr>
        <w:t>initial $</w:t>
      </w:r>
      <w:r w:rsidRPr="007C13CB">
        <w:rPr>
          <w:strike/>
        </w:rPr>
        <w:t>40</w:t>
      </w:r>
      <w:r w:rsidRPr="006F2FCF">
        <w:t xml:space="preserve"> </w:t>
      </w:r>
      <w:r>
        <w:rPr>
          <w:u w:val="single"/>
        </w:rPr>
        <w:t>250</w:t>
      </w:r>
      <w:r>
        <w:t xml:space="preserve"> </w:t>
      </w:r>
      <w:r w:rsidRPr="006F2FCF">
        <w:t>million capitalization.</w:t>
      </w:r>
    </w:p>
    <w:p w14:paraId="0CBCAE4B" w14:textId="583B5EDB" w:rsidR="007C13CB" w:rsidRPr="00BA19A5" w:rsidRDefault="007C13CB" w:rsidP="009069B5">
      <w:pPr>
        <w:pStyle w:val="SectionBody"/>
      </w:pPr>
      <w:r w:rsidRPr="006F2FCF">
        <w:rPr>
          <w:rFonts w:eastAsia="PMingLiU"/>
        </w:rPr>
        <w:t>(d) Upon state receipt of Community Development Block Grant-Disaster Recovery funds in relation to a flood disaster event, and in order to provide the state with the flexibility required to provide assistance to any person, political subdivision, or local organization recovering from the flood disaster event, a minimum of six percent of those funds shall be dedicated for the purposes of Flood Resiliency Plan development and implementation activities to the extent that those purposes are in compliance with applicable federal laws and regulations governing such funds and compatible with the state</w:t>
      </w:r>
      <w:r w:rsidR="00CF5BAA">
        <w:rPr>
          <w:rFonts w:eastAsia="PMingLiU"/>
        </w:rPr>
        <w:t>'</w:t>
      </w:r>
      <w:r w:rsidRPr="006F2FCF">
        <w:rPr>
          <w:rFonts w:eastAsia="PMingLiU"/>
        </w:rPr>
        <w:t>s long-term recovery goals.</w:t>
      </w:r>
    </w:p>
    <w:p w14:paraId="0D06985B" w14:textId="77777777" w:rsidR="00912DE2" w:rsidRDefault="00912DE2" w:rsidP="00CC1F3B">
      <w:pPr>
        <w:pStyle w:val="Note"/>
        <w:sectPr w:rsidR="00912DE2" w:rsidSect="00912DE2">
          <w:type w:val="continuous"/>
          <w:pgSz w:w="12240" w:h="15840" w:code="1"/>
          <w:pgMar w:top="1440" w:right="1440" w:bottom="1440" w:left="1440" w:header="720" w:footer="720" w:gutter="0"/>
          <w:lnNumType w:countBy="1" w:restart="newSection"/>
          <w:cols w:space="720"/>
          <w:titlePg/>
          <w:docGrid w:linePitch="360"/>
        </w:sectPr>
      </w:pPr>
    </w:p>
    <w:p w14:paraId="11F1C303" w14:textId="77777777" w:rsidR="009F26EE" w:rsidRDefault="009F26EE" w:rsidP="00CC1F3B">
      <w:pPr>
        <w:pStyle w:val="Note"/>
      </w:pPr>
    </w:p>
    <w:p w14:paraId="3B9D35FD" w14:textId="4232C6BF" w:rsidR="006865E9" w:rsidRDefault="00CF1DCA" w:rsidP="00CC1F3B">
      <w:pPr>
        <w:pStyle w:val="Note"/>
      </w:pPr>
      <w:r>
        <w:t>NOTE: The</w:t>
      </w:r>
      <w:r w:rsidR="006865E9">
        <w:t xml:space="preserve"> purpose of this bill is to </w:t>
      </w:r>
      <w:r w:rsidR="00947F60">
        <w:t xml:space="preserve">jumpstart the </w:t>
      </w:r>
      <w:r w:rsidR="00F75FF0">
        <w:t>state</w:t>
      </w:r>
      <w:r w:rsidR="00CF5BAA">
        <w:t>'</w:t>
      </w:r>
      <w:r w:rsidR="00F75FF0">
        <w:t xml:space="preserve">s State Resiliency and Flood Protection Act to allow the </w:t>
      </w:r>
      <w:r w:rsidR="002E47AD">
        <w:t>Resiliency</w:t>
      </w:r>
      <w:r w:rsidR="00F75FF0">
        <w:t xml:space="preserve"> Office to begin the work off </w:t>
      </w:r>
      <w:r w:rsidR="00005A40">
        <w:t xml:space="preserve">assisting areas of the state </w:t>
      </w:r>
      <w:r w:rsidR="0053793B">
        <w:t xml:space="preserve">prone </w:t>
      </w:r>
      <w:r w:rsidR="00F65010">
        <w:t>to</w:t>
      </w:r>
      <w:r w:rsidR="00005A40">
        <w:t xml:space="preserve"> flooding to undertake actions to</w:t>
      </w:r>
      <w:r w:rsidR="0053793B">
        <w:t xml:space="preserve"> reduce or </w:t>
      </w:r>
      <w:r w:rsidR="00005A40">
        <w:t>prevent future flooding</w:t>
      </w:r>
      <w:r w:rsidR="0053793B">
        <w:t>.</w:t>
      </w:r>
      <w:r w:rsidR="00005A40">
        <w:t xml:space="preserve">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12D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FF69E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2B9C95C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138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138C">
          <w:rPr>
            <w:sz w:val="22"/>
            <w:szCs w:val="22"/>
          </w:rPr>
          <w:t>2025R3742</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5A40"/>
    <w:rsid w:val="00036390"/>
    <w:rsid w:val="000573A9"/>
    <w:rsid w:val="00085D22"/>
    <w:rsid w:val="00093AB0"/>
    <w:rsid w:val="000C5C77"/>
    <w:rsid w:val="000E3912"/>
    <w:rsid w:val="0010070F"/>
    <w:rsid w:val="00110BD7"/>
    <w:rsid w:val="00120F38"/>
    <w:rsid w:val="00140F1A"/>
    <w:rsid w:val="0015112E"/>
    <w:rsid w:val="001552E7"/>
    <w:rsid w:val="001566B4"/>
    <w:rsid w:val="001A66B7"/>
    <w:rsid w:val="001C279E"/>
    <w:rsid w:val="001D12E0"/>
    <w:rsid w:val="001D2837"/>
    <w:rsid w:val="001D459E"/>
    <w:rsid w:val="00211F02"/>
    <w:rsid w:val="0021656E"/>
    <w:rsid w:val="0022348D"/>
    <w:rsid w:val="002363CC"/>
    <w:rsid w:val="00242EC8"/>
    <w:rsid w:val="00255C02"/>
    <w:rsid w:val="0027011C"/>
    <w:rsid w:val="00274200"/>
    <w:rsid w:val="00275740"/>
    <w:rsid w:val="00287A91"/>
    <w:rsid w:val="002955E6"/>
    <w:rsid w:val="002A0269"/>
    <w:rsid w:val="002E47AD"/>
    <w:rsid w:val="00303684"/>
    <w:rsid w:val="003143F5"/>
    <w:rsid w:val="00314854"/>
    <w:rsid w:val="00352DED"/>
    <w:rsid w:val="00394191"/>
    <w:rsid w:val="003B71EF"/>
    <w:rsid w:val="003C51CD"/>
    <w:rsid w:val="003C6034"/>
    <w:rsid w:val="003D56B8"/>
    <w:rsid w:val="003D6096"/>
    <w:rsid w:val="00400B5C"/>
    <w:rsid w:val="00415868"/>
    <w:rsid w:val="00415E57"/>
    <w:rsid w:val="004368E0"/>
    <w:rsid w:val="004560AA"/>
    <w:rsid w:val="00471028"/>
    <w:rsid w:val="00481546"/>
    <w:rsid w:val="0049773D"/>
    <w:rsid w:val="004C13DD"/>
    <w:rsid w:val="004D3190"/>
    <w:rsid w:val="004D3ABE"/>
    <w:rsid w:val="004E3441"/>
    <w:rsid w:val="00500579"/>
    <w:rsid w:val="0053297E"/>
    <w:rsid w:val="0053793B"/>
    <w:rsid w:val="00554311"/>
    <w:rsid w:val="005A5366"/>
    <w:rsid w:val="005B36E0"/>
    <w:rsid w:val="006369EB"/>
    <w:rsid w:val="00637E73"/>
    <w:rsid w:val="0064270F"/>
    <w:rsid w:val="006439F0"/>
    <w:rsid w:val="006731F7"/>
    <w:rsid w:val="006865E9"/>
    <w:rsid w:val="00686E9A"/>
    <w:rsid w:val="00691F3E"/>
    <w:rsid w:val="00694BFB"/>
    <w:rsid w:val="006A106B"/>
    <w:rsid w:val="006C523D"/>
    <w:rsid w:val="006D4036"/>
    <w:rsid w:val="006D7459"/>
    <w:rsid w:val="007001C1"/>
    <w:rsid w:val="00757111"/>
    <w:rsid w:val="007A5259"/>
    <w:rsid w:val="007A7081"/>
    <w:rsid w:val="007C13CB"/>
    <w:rsid w:val="007C2E65"/>
    <w:rsid w:val="007F1CF5"/>
    <w:rsid w:val="00834EDE"/>
    <w:rsid w:val="008736AA"/>
    <w:rsid w:val="008D275D"/>
    <w:rsid w:val="008E47FA"/>
    <w:rsid w:val="008E5E5B"/>
    <w:rsid w:val="00900EC0"/>
    <w:rsid w:val="00912DE2"/>
    <w:rsid w:val="00946186"/>
    <w:rsid w:val="00947F60"/>
    <w:rsid w:val="009565EA"/>
    <w:rsid w:val="00980327"/>
    <w:rsid w:val="00985CD7"/>
    <w:rsid w:val="00986478"/>
    <w:rsid w:val="009B5557"/>
    <w:rsid w:val="009C01BC"/>
    <w:rsid w:val="009C2316"/>
    <w:rsid w:val="009F1067"/>
    <w:rsid w:val="009F26EE"/>
    <w:rsid w:val="009F3707"/>
    <w:rsid w:val="00A30A01"/>
    <w:rsid w:val="00A31E01"/>
    <w:rsid w:val="00A45C44"/>
    <w:rsid w:val="00A527AD"/>
    <w:rsid w:val="00A718CF"/>
    <w:rsid w:val="00AA069B"/>
    <w:rsid w:val="00AD088B"/>
    <w:rsid w:val="00AE48A0"/>
    <w:rsid w:val="00AE61BE"/>
    <w:rsid w:val="00B10FC0"/>
    <w:rsid w:val="00B16F25"/>
    <w:rsid w:val="00B24422"/>
    <w:rsid w:val="00B66B81"/>
    <w:rsid w:val="00B71E6F"/>
    <w:rsid w:val="00B80C20"/>
    <w:rsid w:val="00B844FE"/>
    <w:rsid w:val="00B86B4F"/>
    <w:rsid w:val="00BA1F84"/>
    <w:rsid w:val="00BB6349"/>
    <w:rsid w:val="00BC562B"/>
    <w:rsid w:val="00BC7DD2"/>
    <w:rsid w:val="00BD5455"/>
    <w:rsid w:val="00C25F8E"/>
    <w:rsid w:val="00C33014"/>
    <w:rsid w:val="00C33434"/>
    <w:rsid w:val="00C34869"/>
    <w:rsid w:val="00C42EB6"/>
    <w:rsid w:val="00C62327"/>
    <w:rsid w:val="00C85096"/>
    <w:rsid w:val="00CB20EF"/>
    <w:rsid w:val="00CC1F3B"/>
    <w:rsid w:val="00CD12CB"/>
    <w:rsid w:val="00CD1B36"/>
    <w:rsid w:val="00CD36CF"/>
    <w:rsid w:val="00CF1DCA"/>
    <w:rsid w:val="00CF4526"/>
    <w:rsid w:val="00CF5BAA"/>
    <w:rsid w:val="00D11FE4"/>
    <w:rsid w:val="00D20867"/>
    <w:rsid w:val="00D26027"/>
    <w:rsid w:val="00D3425F"/>
    <w:rsid w:val="00D34F67"/>
    <w:rsid w:val="00D3549F"/>
    <w:rsid w:val="00D579FC"/>
    <w:rsid w:val="00D66CA9"/>
    <w:rsid w:val="00D81C16"/>
    <w:rsid w:val="00DA1CDD"/>
    <w:rsid w:val="00DD3BF9"/>
    <w:rsid w:val="00DE526B"/>
    <w:rsid w:val="00DE6181"/>
    <w:rsid w:val="00DF199D"/>
    <w:rsid w:val="00E01542"/>
    <w:rsid w:val="00E04D15"/>
    <w:rsid w:val="00E365F1"/>
    <w:rsid w:val="00E37E8A"/>
    <w:rsid w:val="00E4138C"/>
    <w:rsid w:val="00E56236"/>
    <w:rsid w:val="00E62F48"/>
    <w:rsid w:val="00E831B3"/>
    <w:rsid w:val="00E95FBC"/>
    <w:rsid w:val="00EC26A4"/>
    <w:rsid w:val="00EC5E63"/>
    <w:rsid w:val="00EE70CB"/>
    <w:rsid w:val="00F25875"/>
    <w:rsid w:val="00F41CA2"/>
    <w:rsid w:val="00F41DF9"/>
    <w:rsid w:val="00F443C0"/>
    <w:rsid w:val="00F62EFB"/>
    <w:rsid w:val="00F65010"/>
    <w:rsid w:val="00F704AB"/>
    <w:rsid w:val="00F735CB"/>
    <w:rsid w:val="00F75FF0"/>
    <w:rsid w:val="00F87504"/>
    <w:rsid w:val="00F87F9A"/>
    <w:rsid w:val="00F939A4"/>
    <w:rsid w:val="00FA7B09"/>
    <w:rsid w:val="00FD5B51"/>
    <w:rsid w:val="00FE067E"/>
    <w:rsid w:val="00FE208F"/>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DD4A396A-A255-4097-947A-EE4F38AB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12DE2"/>
    <w:rPr>
      <w:rFonts w:eastAsia="Calibri"/>
      <w:b/>
      <w:caps/>
      <w:color w:val="000000"/>
      <w:sz w:val="24"/>
    </w:rPr>
  </w:style>
  <w:style w:type="character" w:customStyle="1" w:styleId="SectionBodyChar">
    <w:name w:val="Section Body Char"/>
    <w:link w:val="SectionBody"/>
    <w:rsid w:val="00912DE2"/>
    <w:rPr>
      <w:rFonts w:eastAsia="Calibri"/>
      <w:color w:val="000000"/>
    </w:rPr>
  </w:style>
  <w:style w:type="character" w:customStyle="1" w:styleId="SectionHeadingChar">
    <w:name w:val="Section Heading Char"/>
    <w:link w:val="SectionHeading"/>
    <w:rsid w:val="00912D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3551C1" w:rsidRDefault="003551C1">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3551C1" w:rsidRDefault="003551C1">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3551C1" w:rsidRDefault="003551C1">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3551C1" w:rsidRDefault="003551C1">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3551C1" w:rsidRDefault="003551C1">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40F1A"/>
    <w:rsid w:val="003551C1"/>
    <w:rsid w:val="00554311"/>
    <w:rsid w:val="00D11FE4"/>
    <w:rsid w:val="00DB4F0A"/>
    <w:rsid w:val="00DE6181"/>
    <w:rsid w:val="00EC26A4"/>
    <w:rsid w:val="00F8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2025-02-26T17:58:00Z</cp:lastPrinted>
  <dcterms:created xsi:type="dcterms:W3CDTF">2025-03-17T22:40:00Z</dcterms:created>
  <dcterms:modified xsi:type="dcterms:W3CDTF">2025-03-17T22:40:00Z</dcterms:modified>
</cp:coreProperties>
</file>